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584" w:rsidRDefault="00250584" w:rsidP="00250584">
      <w:pPr>
        <w:spacing w:line="480" w:lineRule="auto"/>
        <w:jc w:val="center"/>
        <w:rPr>
          <w:rFonts w:ascii="Times New Roman" w:hAnsi="Times New Roman" w:cs="Times New Roman"/>
          <w:sz w:val="24"/>
          <w:szCs w:val="24"/>
        </w:rPr>
      </w:pPr>
      <w:r>
        <w:rPr>
          <w:rFonts w:ascii="Times New Roman" w:hAnsi="Times New Roman" w:cs="Times New Roman"/>
          <w:sz w:val="24"/>
          <w:szCs w:val="24"/>
        </w:rPr>
        <w:t>Al Midan: The Square</w:t>
      </w:r>
    </w:p>
    <w:p w:rsidR="005F4E7D" w:rsidRDefault="005F4E7D" w:rsidP="005F4E7D">
      <w:pPr>
        <w:spacing w:line="480" w:lineRule="auto"/>
        <w:jc w:val="center"/>
        <w:rPr>
          <w:rFonts w:ascii="Times New Roman" w:hAnsi="Times New Roman" w:cs="Times New Roman"/>
          <w:sz w:val="24"/>
          <w:szCs w:val="24"/>
        </w:rPr>
      </w:pPr>
    </w:p>
    <w:p w:rsidR="005F4E7D" w:rsidRDefault="005F4E7D" w:rsidP="005F4E7D">
      <w:pPr>
        <w:spacing w:line="480" w:lineRule="auto"/>
        <w:jc w:val="center"/>
        <w:rPr>
          <w:rFonts w:ascii="Times New Roman" w:hAnsi="Times New Roman" w:cs="Times New Roman"/>
          <w:sz w:val="24"/>
          <w:szCs w:val="24"/>
        </w:rPr>
      </w:pPr>
    </w:p>
    <w:p w:rsidR="005F4E7D" w:rsidRDefault="005F4E7D" w:rsidP="005F4E7D">
      <w:pPr>
        <w:spacing w:line="480" w:lineRule="auto"/>
        <w:jc w:val="center"/>
        <w:rPr>
          <w:rFonts w:ascii="Times New Roman" w:hAnsi="Times New Roman" w:cs="Times New Roman"/>
          <w:sz w:val="24"/>
          <w:szCs w:val="24"/>
        </w:rPr>
      </w:pPr>
    </w:p>
    <w:p w:rsidR="005F4E7D" w:rsidRDefault="005F4E7D" w:rsidP="005F4E7D">
      <w:pPr>
        <w:spacing w:line="480" w:lineRule="auto"/>
        <w:jc w:val="center"/>
        <w:rPr>
          <w:rFonts w:ascii="Times New Roman" w:hAnsi="Times New Roman" w:cs="Times New Roman"/>
          <w:sz w:val="24"/>
          <w:szCs w:val="24"/>
        </w:rPr>
      </w:pPr>
    </w:p>
    <w:p w:rsidR="005F4E7D" w:rsidRDefault="005F4E7D" w:rsidP="005F4E7D">
      <w:pPr>
        <w:spacing w:line="480" w:lineRule="auto"/>
        <w:jc w:val="center"/>
        <w:rPr>
          <w:rFonts w:ascii="Times New Roman" w:hAnsi="Times New Roman" w:cs="Times New Roman"/>
          <w:sz w:val="24"/>
          <w:szCs w:val="24"/>
        </w:rPr>
      </w:pPr>
    </w:p>
    <w:p w:rsidR="005F4E7D" w:rsidRDefault="005F4E7D" w:rsidP="005F4E7D">
      <w:pPr>
        <w:spacing w:line="480" w:lineRule="auto"/>
        <w:jc w:val="center"/>
        <w:rPr>
          <w:rFonts w:ascii="Times New Roman" w:hAnsi="Times New Roman" w:cs="Times New Roman"/>
          <w:sz w:val="24"/>
          <w:szCs w:val="24"/>
        </w:rPr>
      </w:pPr>
    </w:p>
    <w:p w:rsidR="005F4E7D" w:rsidRDefault="005F4E7D" w:rsidP="005F4E7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F4E7D" w:rsidRDefault="00250584" w:rsidP="005F4E7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Name </w:t>
      </w:r>
    </w:p>
    <w:p w:rsidR="005F4E7D" w:rsidRDefault="005F4E7D" w:rsidP="005F4E7D">
      <w:pPr>
        <w:spacing w:line="480" w:lineRule="auto"/>
        <w:jc w:val="center"/>
        <w:rPr>
          <w:rFonts w:ascii="Times New Roman" w:hAnsi="Times New Roman" w:cs="Times New Roman"/>
          <w:sz w:val="24"/>
          <w:szCs w:val="24"/>
        </w:rPr>
      </w:pPr>
      <w:r>
        <w:rPr>
          <w:rFonts w:ascii="Times New Roman" w:hAnsi="Times New Roman" w:cs="Times New Roman"/>
          <w:sz w:val="24"/>
          <w:szCs w:val="24"/>
        </w:rPr>
        <w:t>5/16/2020</w:t>
      </w:r>
    </w:p>
    <w:p w:rsidR="005F4E7D" w:rsidRDefault="005F4E7D" w:rsidP="005F4E7D">
      <w:pPr>
        <w:spacing w:line="480" w:lineRule="auto"/>
        <w:jc w:val="center"/>
        <w:rPr>
          <w:rFonts w:ascii="Times New Roman" w:hAnsi="Times New Roman" w:cs="Times New Roman"/>
          <w:sz w:val="24"/>
          <w:szCs w:val="24"/>
        </w:rPr>
      </w:pPr>
    </w:p>
    <w:p w:rsidR="005F4E7D" w:rsidRDefault="005F4E7D" w:rsidP="005F4E7D">
      <w:pPr>
        <w:spacing w:line="480" w:lineRule="auto"/>
        <w:jc w:val="center"/>
        <w:rPr>
          <w:rFonts w:ascii="Times New Roman" w:hAnsi="Times New Roman" w:cs="Times New Roman"/>
          <w:sz w:val="24"/>
          <w:szCs w:val="24"/>
        </w:rPr>
      </w:pPr>
    </w:p>
    <w:p w:rsidR="005F4E7D" w:rsidRDefault="005F4E7D" w:rsidP="005F4E7D">
      <w:pPr>
        <w:spacing w:line="480" w:lineRule="auto"/>
        <w:jc w:val="center"/>
        <w:rPr>
          <w:rFonts w:ascii="Times New Roman" w:hAnsi="Times New Roman" w:cs="Times New Roman"/>
          <w:sz w:val="24"/>
          <w:szCs w:val="24"/>
        </w:rPr>
      </w:pPr>
    </w:p>
    <w:p w:rsidR="005F4E7D" w:rsidRDefault="005F4E7D" w:rsidP="005F4E7D">
      <w:pPr>
        <w:spacing w:line="480" w:lineRule="auto"/>
        <w:jc w:val="center"/>
        <w:rPr>
          <w:rFonts w:ascii="Times New Roman" w:hAnsi="Times New Roman" w:cs="Times New Roman"/>
          <w:sz w:val="24"/>
          <w:szCs w:val="24"/>
        </w:rPr>
      </w:pPr>
    </w:p>
    <w:p w:rsidR="005F4E7D" w:rsidRDefault="005F4E7D" w:rsidP="005F4E7D">
      <w:pPr>
        <w:spacing w:line="480" w:lineRule="auto"/>
        <w:rPr>
          <w:rFonts w:ascii="Times New Roman" w:hAnsi="Times New Roman" w:cs="Times New Roman"/>
          <w:sz w:val="24"/>
          <w:szCs w:val="24"/>
        </w:rPr>
      </w:pPr>
    </w:p>
    <w:p w:rsidR="005F4E7D" w:rsidRDefault="005F4E7D" w:rsidP="005F4E7D">
      <w:pPr>
        <w:spacing w:line="480" w:lineRule="auto"/>
        <w:rPr>
          <w:rFonts w:ascii="Times New Roman" w:hAnsi="Times New Roman" w:cs="Times New Roman"/>
          <w:sz w:val="24"/>
          <w:szCs w:val="24"/>
        </w:rPr>
      </w:pPr>
    </w:p>
    <w:p w:rsidR="005F4E7D" w:rsidRPr="00D85C67" w:rsidRDefault="005F4E7D" w:rsidP="005F4E7D">
      <w:pPr>
        <w:spacing w:line="480" w:lineRule="auto"/>
        <w:rPr>
          <w:rFonts w:ascii="Times New Roman" w:hAnsi="Times New Roman" w:cs="Times New Roman"/>
          <w:sz w:val="24"/>
          <w:szCs w:val="24"/>
        </w:rPr>
      </w:pPr>
    </w:p>
    <w:p w:rsidR="005F4E7D" w:rsidRPr="00D85C67" w:rsidRDefault="005F4E7D" w:rsidP="005F4E7D">
      <w:pPr>
        <w:spacing w:line="480" w:lineRule="auto"/>
        <w:jc w:val="center"/>
        <w:rPr>
          <w:rFonts w:ascii="Times New Roman" w:hAnsi="Times New Roman" w:cs="Times New Roman"/>
          <w:sz w:val="24"/>
          <w:szCs w:val="24"/>
        </w:rPr>
      </w:pPr>
      <w:r w:rsidRPr="00D85C67">
        <w:rPr>
          <w:rFonts w:ascii="Times New Roman" w:hAnsi="Times New Roman" w:cs="Times New Roman"/>
          <w:b/>
          <w:bCs/>
          <w:sz w:val="24"/>
          <w:szCs w:val="24"/>
        </w:rPr>
        <w:lastRenderedPageBreak/>
        <w:t>Al-Midan (The Square)</w:t>
      </w:r>
    </w:p>
    <w:p w:rsidR="005F4E7D" w:rsidRPr="00D85C67" w:rsidRDefault="005F4E7D" w:rsidP="00250584">
      <w:pPr>
        <w:spacing w:line="480" w:lineRule="auto"/>
        <w:jc w:val="both"/>
        <w:rPr>
          <w:rFonts w:ascii="Times New Roman" w:hAnsi="Times New Roman" w:cs="Times New Roman"/>
          <w:sz w:val="24"/>
          <w:szCs w:val="24"/>
        </w:rPr>
      </w:pPr>
      <w:r w:rsidRPr="00D85C67">
        <w:rPr>
          <w:rFonts w:ascii="Times New Roman" w:hAnsi="Times New Roman" w:cs="Times New Roman"/>
          <w:sz w:val="24"/>
          <w:szCs w:val="24"/>
        </w:rPr>
        <w:t>           The movie depicts the intensity and the extent of the Egyptian revolution in a bid to open the eyes of the viewers on what led to the phenomenon. The movie shows how young people in Egypt seized Cairo’s Tahrir Square with the aim of overthrowing of Hosni Mubarak. Mubarak’s regime was characterized by oppression facilitated through militarization. The producer of the movie aimed at demonstrating the unity that the Egyptians had in light with the need to overturn the oppressive government. The movie also offers viewers with insight into the level of chaos within the country during the revolution, and the Square being depicted as the symbolic area where freedom was to be obtained</w:t>
      </w:r>
      <w:r w:rsidR="005A6B27">
        <w:rPr>
          <w:rStyle w:val="FootnoteReference"/>
          <w:rFonts w:ascii="Times New Roman" w:hAnsi="Times New Roman" w:cs="Times New Roman"/>
          <w:sz w:val="24"/>
          <w:szCs w:val="24"/>
        </w:rPr>
        <w:footnoteReference w:id="1"/>
      </w:r>
      <w:r w:rsidRPr="00D85C67">
        <w:rPr>
          <w:rFonts w:ascii="Times New Roman" w:hAnsi="Times New Roman" w:cs="Times New Roman"/>
          <w:sz w:val="24"/>
          <w:szCs w:val="24"/>
        </w:rPr>
        <w:t>. The government leashing attacks on the protestors shows how the oppressive leader was resistant to change, and wanted to continue his oppressive leadership. As a result, some of the crowd members are arrested and beaten up. The revolution in Egypt was unique since it was televised and people were able to capture events using their phones. </w:t>
      </w:r>
    </w:p>
    <w:p w:rsidR="005F4E7D" w:rsidRPr="00D85C67" w:rsidRDefault="005F4E7D" w:rsidP="00250584">
      <w:pPr>
        <w:spacing w:line="480" w:lineRule="auto"/>
        <w:jc w:val="both"/>
        <w:rPr>
          <w:rFonts w:ascii="Times New Roman" w:hAnsi="Times New Roman" w:cs="Times New Roman"/>
          <w:sz w:val="24"/>
          <w:szCs w:val="24"/>
        </w:rPr>
      </w:pPr>
      <w:r w:rsidRPr="00D85C67">
        <w:rPr>
          <w:rFonts w:ascii="Times New Roman" w:hAnsi="Times New Roman" w:cs="Times New Roman"/>
          <w:sz w:val="24"/>
          <w:szCs w:val="24"/>
        </w:rPr>
        <w:t xml:space="preserve">           The movie strives to reinforce the theme of Muslim brotherhood in revolutions and how they can unify against a common enemy. The demonstration during the Egyptian revolution showed how urgent the people needed the government to be answerable to some acts of impunity. The role of religion in governance also comes into play as a viewer watches this film from characters such as Magdy Ashour that were staunch revolutionist but still observed religious principles. Ashour helped delineate the role of youths in political transformation. Besides, the role of activists and journalists such as Aida Kashef and Ahmed Hassan in Arabic revolutions is defined through their energy and idealism to help create awareness about the issues affecting the society. </w:t>
      </w:r>
      <w:r w:rsidRPr="00D85C67">
        <w:rPr>
          <w:rFonts w:ascii="Times New Roman" w:hAnsi="Times New Roman" w:cs="Times New Roman"/>
          <w:sz w:val="24"/>
          <w:szCs w:val="24"/>
        </w:rPr>
        <w:lastRenderedPageBreak/>
        <w:t>The efforts by the actors in the movie help induce sympathetic emotions in the hearts of the viewers with regards to the prevalence of brutality and oppression in the country.</w:t>
      </w:r>
    </w:p>
    <w:p w:rsidR="005F4E7D" w:rsidRPr="00D85C67" w:rsidRDefault="005F4E7D" w:rsidP="00250584">
      <w:pPr>
        <w:spacing w:line="480" w:lineRule="auto"/>
        <w:jc w:val="both"/>
        <w:rPr>
          <w:rFonts w:ascii="Times New Roman" w:hAnsi="Times New Roman" w:cs="Times New Roman"/>
          <w:sz w:val="24"/>
          <w:szCs w:val="24"/>
        </w:rPr>
      </w:pPr>
      <w:r w:rsidRPr="00D85C67">
        <w:rPr>
          <w:rFonts w:ascii="Times New Roman" w:hAnsi="Times New Roman" w:cs="Times New Roman"/>
          <w:sz w:val="24"/>
          <w:szCs w:val="24"/>
        </w:rPr>
        <w:t>           Moreover, the movie helps show that the goals of the government are not always analogous to the needs of the civilians. It also helps create an illuminating notion of why people need to take proactive measures to solve certain political issues affecting them. The protestors in Egypt did not care about ramifications of the actions; they only had eyes on the price, which was to oust Mubarak out of power. The movie also demonstrated that change is not actualized only through words; thus, actions should follow if holistic outcomes are to be achieved. Change did not come easily to the Egyptians in the film; they had to struggle to attain it even if it means loss of lives. The case of Egypt is parallel to what happens in America and other parts of the world; despite chanting “Yes We Can,” no one is ready to do the dirty work to facilitate the required change</w:t>
      </w:r>
      <w:r w:rsidR="005A6B27">
        <w:rPr>
          <w:rStyle w:val="FootnoteReference"/>
          <w:rFonts w:ascii="Times New Roman" w:hAnsi="Times New Roman" w:cs="Times New Roman"/>
          <w:sz w:val="24"/>
          <w:szCs w:val="24"/>
        </w:rPr>
        <w:footnoteReference w:id="2"/>
      </w:r>
      <w:r w:rsidRPr="00D85C67">
        <w:rPr>
          <w:rFonts w:ascii="Times New Roman" w:hAnsi="Times New Roman" w:cs="Times New Roman"/>
          <w:sz w:val="24"/>
          <w:szCs w:val="24"/>
        </w:rPr>
        <w:t>. The occupation of the Tahrir Square helped showed how religion-oriented protests should be conducted in spite of drawing criticism from secular Muslims. In the end, the movement showed that power lies in the hands of the people, and Arab retaliators know how to use this powerful concept.</w:t>
      </w:r>
    </w:p>
    <w:p w:rsidR="005F4E7D" w:rsidRPr="00D85C67" w:rsidRDefault="005F4E7D" w:rsidP="00250584">
      <w:pPr>
        <w:spacing w:line="480" w:lineRule="auto"/>
        <w:jc w:val="both"/>
        <w:rPr>
          <w:rFonts w:ascii="Times New Roman" w:hAnsi="Times New Roman" w:cs="Times New Roman"/>
          <w:sz w:val="24"/>
          <w:szCs w:val="24"/>
        </w:rPr>
      </w:pPr>
      <w:r w:rsidRPr="00D85C67">
        <w:rPr>
          <w:rFonts w:ascii="Times New Roman" w:hAnsi="Times New Roman" w:cs="Times New Roman"/>
          <w:sz w:val="24"/>
          <w:szCs w:val="24"/>
        </w:rPr>
        <w:t xml:space="preserve">           In addition, the movie shows that the tactics that the Egyptian government to limit the voice of the public. The barriers placed on the mainstream media meant that the people could not use the channel to champion their rights and freedom. The Egyptian civilians in the movie helped show the world that mass mobilization can be used to pass reform messages to the government. The movie was also centered on the issue of how people are their own enemies when it comes to initiating political, social, and economic change. Some Egyptians are portrayed as sidelining their fellow Egyptians in a bid to accrue political benefits. The most notable feature of the movie </w:t>
      </w:r>
      <w:r w:rsidRPr="00D85C67">
        <w:rPr>
          <w:rFonts w:ascii="Times New Roman" w:hAnsi="Times New Roman" w:cs="Times New Roman"/>
          <w:sz w:val="24"/>
          <w:szCs w:val="24"/>
        </w:rPr>
        <w:lastRenderedPageBreak/>
        <w:t>is how it succeeded in showing the viewers that orientation towards a common goal can lead to radical reforms.</w:t>
      </w:r>
    </w:p>
    <w:p w:rsidR="005F4E7D" w:rsidRPr="00D85C67" w:rsidRDefault="005F4E7D" w:rsidP="00250584">
      <w:pPr>
        <w:spacing w:line="480" w:lineRule="auto"/>
        <w:jc w:val="both"/>
        <w:rPr>
          <w:rFonts w:ascii="Times New Roman" w:hAnsi="Times New Roman" w:cs="Times New Roman"/>
          <w:sz w:val="24"/>
          <w:szCs w:val="24"/>
        </w:rPr>
      </w:pPr>
      <w:r w:rsidRPr="00D85C67">
        <w:rPr>
          <w:rFonts w:ascii="Times New Roman" w:hAnsi="Times New Roman" w:cs="Times New Roman"/>
          <w:sz w:val="24"/>
          <w:szCs w:val="24"/>
        </w:rPr>
        <w:t>           In addition, the complete coverage of the issue as it occurred at the Square helps create a chartered depiction of a chaotic regime. The movie happenings in Egypt helped spark other revolutions in the Arab world in countries such as Bahrain. The unity among the Egyptians during this revolution helps portray their patriotism through brave optimism. The protest was started by a small group of persons that represented a small portion of the entire Egyptian population. Idealism and hope depicted in this movie helped show passionate desires that characterize most Arab revolutions even in the contemporary world</w:t>
      </w:r>
      <w:r w:rsidR="005A6B27">
        <w:rPr>
          <w:rStyle w:val="FootnoteReference"/>
          <w:rFonts w:ascii="Times New Roman" w:hAnsi="Times New Roman" w:cs="Times New Roman"/>
          <w:sz w:val="24"/>
          <w:szCs w:val="24"/>
        </w:rPr>
        <w:footnoteReference w:id="3"/>
      </w:r>
      <w:r w:rsidRPr="00D85C67">
        <w:rPr>
          <w:rFonts w:ascii="Times New Roman" w:hAnsi="Times New Roman" w:cs="Times New Roman"/>
          <w:sz w:val="24"/>
          <w:szCs w:val="24"/>
        </w:rPr>
        <w:t>. The revolution was not that boring since it had glimpses of excitement from the people as there was a surge of energy related to the ushering in of a new era. The anti-Mubarak chants and songs were captivating and it showed the world how resilience and the refusal to give up can lead to positive change outcomes. Conclusively, the movie epitomized Arab revolutions and the characteristics of the movements that facilitated the same. </w:t>
      </w:r>
    </w:p>
    <w:p w:rsidR="005A6B27" w:rsidRDefault="005A6B2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5A6B27" w:rsidRPr="005A6B27" w:rsidRDefault="005A6B27" w:rsidP="005A6B27">
      <w:pPr>
        <w:shd w:val="clear" w:color="auto" w:fill="FFFFFF"/>
        <w:spacing w:after="0" w:line="240" w:lineRule="auto"/>
        <w:jc w:val="center"/>
        <w:rPr>
          <w:rFonts w:ascii="Times New Roman" w:eastAsia="Times New Roman" w:hAnsi="Times New Roman" w:cs="Times New Roman"/>
          <w:color w:val="000000"/>
          <w:sz w:val="24"/>
          <w:szCs w:val="24"/>
        </w:rPr>
      </w:pPr>
      <w:r w:rsidRPr="005A6B27">
        <w:rPr>
          <w:rFonts w:ascii="Times New Roman" w:eastAsia="Times New Roman" w:hAnsi="Times New Roman" w:cs="Times New Roman"/>
          <w:color w:val="000000"/>
          <w:sz w:val="24"/>
          <w:szCs w:val="24"/>
        </w:rPr>
        <w:lastRenderedPageBreak/>
        <w:t>Bibliography</w:t>
      </w:r>
    </w:p>
    <w:p w:rsidR="005A6B27" w:rsidRPr="005A6B27" w:rsidRDefault="005A6B27" w:rsidP="005A6B27">
      <w:pPr>
        <w:spacing w:after="0" w:line="240" w:lineRule="auto"/>
        <w:rPr>
          <w:rFonts w:ascii="Times New Roman" w:eastAsia="Times New Roman" w:hAnsi="Times New Roman" w:cs="Times New Roman"/>
          <w:sz w:val="24"/>
          <w:szCs w:val="24"/>
        </w:rPr>
      </w:pPr>
      <w:r w:rsidRPr="005A6B27">
        <w:rPr>
          <w:rFonts w:ascii="Verdana" w:eastAsia="Times New Roman" w:hAnsi="Verdana" w:cs="Times New Roman"/>
          <w:color w:val="000000"/>
          <w:sz w:val="21"/>
          <w:szCs w:val="21"/>
        </w:rPr>
        <w:br/>
      </w:r>
    </w:p>
    <w:p w:rsidR="005A6B27" w:rsidRPr="005A6B27" w:rsidRDefault="005A6B27" w:rsidP="005A6B27">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5A6B27">
        <w:rPr>
          <w:rFonts w:ascii="Times New Roman" w:eastAsia="Times New Roman" w:hAnsi="Times New Roman" w:cs="Times New Roman"/>
          <w:color w:val="000000"/>
          <w:sz w:val="24"/>
          <w:szCs w:val="24"/>
        </w:rPr>
        <w:t xml:space="preserve">"The Square (2013)." IMDb. Last modified November 11, 2013. </w:t>
      </w:r>
      <w:r w:rsidR="002B2EC8">
        <w:rPr>
          <w:rFonts w:ascii="Times New Roman" w:eastAsia="Times New Roman" w:hAnsi="Times New Roman" w:cs="Times New Roman"/>
          <w:color w:val="000000"/>
          <w:sz w:val="24"/>
          <w:szCs w:val="24"/>
        </w:rPr>
        <w:t xml:space="preserve">Retrieved from </w:t>
      </w:r>
      <w:bookmarkStart w:id="0" w:name="_GoBack"/>
      <w:bookmarkEnd w:id="0"/>
      <w:r w:rsidRPr="005A6B27">
        <w:rPr>
          <w:rFonts w:ascii="Times New Roman" w:eastAsia="Times New Roman" w:hAnsi="Times New Roman" w:cs="Times New Roman"/>
          <w:color w:val="000000"/>
          <w:sz w:val="24"/>
          <w:szCs w:val="24"/>
        </w:rPr>
        <w:t>https://www.imdb.com/title/tt2486682/reviews.</w:t>
      </w:r>
    </w:p>
    <w:p w:rsidR="003E1B8A" w:rsidRDefault="009639E4"/>
    <w:sectPr w:rsidR="003E1B8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9E4" w:rsidRDefault="009639E4" w:rsidP="005F4E7D">
      <w:pPr>
        <w:spacing w:after="0" w:line="240" w:lineRule="auto"/>
      </w:pPr>
      <w:r>
        <w:separator/>
      </w:r>
    </w:p>
  </w:endnote>
  <w:endnote w:type="continuationSeparator" w:id="0">
    <w:p w:rsidR="009639E4" w:rsidRDefault="009639E4" w:rsidP="005F4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9E4" w:rsidRDefault="009639E4" w:rsidP="005F4E7D">
      <w:pPr>
        <w:spacing w:after="0" w:line="240" w:lineRule="auto"/>
      </w:pPr>
      <w:r>
        <w:separator/>
      </w:r>
    </w:p>
  </w:footnote>
  <w:footnote w:type="continuationSeparator" w:id="0">
    <w:p w:rsidR="009639E4" w:rsidRDefault="009639E4" w:rsidP="005F4E7D">
      <w:pPr>
        <w:spacing w:after="0" w:line="240" w:lineRule="auto"/>
      </w:pPr>
      <w:r>
        <w:continuationSeparator/>
      </w:r>
    </w:p>
  </w:footnote>
  <w:footnote w:id="1">
    <w:p w:rsidR="005A6B27" w:rsidRDefault="005A6B27">
      <w:pPr>
        <w:pStyle w:val="FootnoteText"/>
      </w:pPr>
      <w:r>
        <w:rPr>
          <w:rStyle w:val="FootnoteReference"/>
        </w:rPr>
        <w:footnoteRef/>
      </w:r>
      <w:r>
        <w:t xml:space="preserve"> </w:t>
      </w:r>
      <w:r w:rsidRPr="005A6B27">
        <w:rPr>
          <w:rFonts w:ascii="Times New Roman" w:hAnsi="Times New Roman" w:cs="Times New Roman"/>
          <w:color w:val="333333"/>
          <w:shd w:val="clear" w:color="auto" w:fill="FFFFFF"/>
        </w:rPr>
        <w:t>"The Square (2013)," IMDb, last modified November 11, 2013, https://www.imdb.com/title/tt2486682/reviews.</w:t>
      </w:r>
    </w:p>
  </w:footnote>
  <w:footnote w:id="2">
    <w:p w:rsidR="005A6B27" w:rsidRDefault="005A6B27">
      <w:pPr>
        <w:pStyle w:val="FootnoteText"/>
      </w:pPr>
      <w:r>
        <w:rPr>
          <w:rStyle w:val="FootnoteReference"/>
        </w:rPr>
        <w:footnoteRef/>
      </w:r>
      <w:r>
        <w:t xml:space="preserve"> </w:t>
      </w:r>
      <w:r w:rsidRPr="005A6B27">
        <w:rPr>
          <w:rFonts w:ascii="Times New Roman" w:hAnsi="Times New Roman" w:cs="Times New Roman"/>
          <w:color w:val="333333"/>
          <w:shd w:val="clear" w:color="auto" w:fill="FFFFFF"/>
        </w:rPr>
        <w:t>"The Square (2013)," IMDb, last modified November 11, 2013, https://www.imdb.com/title/tt2486682/reviews.</w:t>
      </w:r>
    </w:p>
  </w:footnote>
  <w:footnote w:id="3">
    <w:p w:rsidR="005A6B27" w:rsidRDefault="005A6B27">
      <w:pPr>
        <w:pStyle w:val="FootnoteText"/>
      </w:pPr>
      <w:r>
        <w:rPr>
          <w:rStyle w:val="FootnoteReference"/>
        </w:rPr>
        <w:footnoteRef/>
      </w:r>
      <w:r>
        <w:t xml:space="preserve"> </w:t>
      </w:r>
      <w:r w:rsidRPr="005A6B27">
        <w:rPr>
          <w:rFonts w:ascii="Times New Roman" w:hAnsi="Times New Roman" w:cs="Times New Roman"/>
          <w:color w:val="333333"/>
          <w:shd w:val="clear" w:color="auto" w:fill="FFFFFF"/>
        </w:rPr>
        <w:t>"The Square (2013)," IMDb, last modified November 11, 2013, https://www.imdb.com/title/tt2486682/reviews.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5858984"/>
      <w:docPartObj>
        <w:docPartGallery w:val="Page Numbers (Top of Page)"/>
        <w:docPartUnique/>
      </w:docPartObj>
    </w:sdtPr>
    <w:sdtEndPr>
      <w:rPr>
        <w:rFonts w:ascii="Times New Roman" w:hAnsi="Times New Roman" w:cs="Times New Roman"/>
        <w:noProof/>
        <w:sz w:val="24"/>
        <w:szCs w:val="24"/>
      </w:rPr>
    </w:sdtEndPr>
    <w:sdtContent>
      <w:p w:rsidR="00B52980" w:rsidRPr="00B52980" w:rsidRDefault="00BA7AD7" w:rsidP="00B52980">
        <w:pPr>
          <w:pStyle w:val="Header"/>
          <w:spacing w:line="480" w:lineRule="auto"/>
          <w:jc w:val="right"/>
          <w:rPr>
            <w:rFonts w:ascii="Times New Roman" w:hAnsi="Times New Roman" w:cs="Times New Roman"/>
            <w:sz w:val="24"/>
            <w:szCs w:val="24"/>
          </w:rPr>
        </w:pPr>
        <w:r w:rsidRPr="00B52980">
          <w:rPr>
            <w:rFonts w:ascii="Times New Roman" w:hAnsi="Times New Roman" w:cs="Times New Roman"/>
            <w:sz w:val="24"/>
            <w:szCs w:val="24"/>
          </w:rPr>
          <w:fldChar w:fldCharType="begin"/>
        </w:r>
        <w:r w:rsidRPr="00B52980">
          <w:rPr>
            <w:rFonts w:ascii="Times New Roman" w:hAnsi="Times New Roman" w:cs="Times New Roman"/>
            <w:sz w:val="24"/>
            <w:szCs w:val="24"/>
          </w:rPr>
          <w:instrText xml:space="preserve"> PAGE   \* MERGEFORMAT </w:instrText>
        </w:r>
        <w:r w:rsidRPr="00B52980">
          <w:rPr>
            <w:rFonts w:ascii="Times New Roman" w:hAnsi="Times New Roman" w:cs="Times New Roman"/>
            <w:sz w:val="24"/>
            <w:szCs w:val="24"/>
          </w:rPr>
          <w:fldChar w:fldCharType="separate"/>
        </w:r>
        <w:r w:rsidR="00ED5A66">
          <w:rPr>
            <w:rFonts w:ascii="Times New Roman" w:hAnsi="Times New Roman" w:cs="Times New Roman"/>
            <w:noProof/>
            <w:sz w:val="24"/>
            <w:szCs w:val="24"/>
          </w:rPr>
          <w:t>1</w:t>
        </w:r>
        <w:r w:rsidRPr="00B52980">
          <w:rPr>
            <w:rFonts w:ascii="Times New Roman" w:hAnsi="Times New Roman" w:cs="Times New Roman"/>
            <w:noProof/>
            <w:sz w:val="24"/>
            <w:szCs w:val="24"/>
          </w:rPr>
          <w:fldChar w:fldCharType="end"/>
        </w:r>
      </w:p>
    </w:sdtContent>
  </w:sdt>
  <w:p w:rsidR="00B52980" w:rsidRDefault="009639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E7D"/>
    <w:rsid w:val="001B4F0A"/>
    <w:rsid w:val="00250584"/>
    <w:rsid w:val="002B2EC8"/>
    <w:rsid w:val="005A6B27"/>
    <w:rsid w:val="005F4E7D"/>
    <w:rsid w:val="0071669E"/>
    <w:rsid w:val="00874EEB"/>
    <w:rsid w:val="009639E4"/>
    <w:rsid w:val="00BA7AD7"/>
    <w:rsid w:val="00ED5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D54A0"/>
  <w15:docId w15:val="{110F8C70-9112-4146-8558-4FFDEEBD2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4E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4E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E7D"/>
  </w:style>
  <w:style w:type="character" w:styleId="Hyperlink">
    <w:name w:val="Hyperlink"/>
    <w:basedOn w:val="DefaultParagraphFont"/>
    <w:uiPriority w:val="99"/>
    <w:unhideWhenUsed/>
    <w:rsid w:val="005F4E7D"/>
    <w:rPr>
      <w:color w:val="0000FF" w:themeColor="hyperlink"/>
      <w:u w:val="single"/>
    </w:rPr>
  </w:style>
  <w:style w:type="paragraph" w:styleId="FootnoteText">
    <w:name w:val="footnote text"/>
    <w:basedOn w:val="Normal"/>
    <w:link w:val="FootnoteTextChar"/>
    <w:uiPriority w:val="99"/>
    <w:semiHidden/>
    <w:unhideWhenUsed/>
    <w:rsid w:val="005F4E7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4E7D"/>
    <w:rPr>
      <w:sz w:val="20"/>
      <w:szCs w:val="20"/>
    </w:rPr>
  </w:style>
  <w:style w:type="character" w:styleId="FootnoteReference">
    <w:name w:val="footnote reference"/>
    <w:basedOn w:val="DefaultParagraphFont"/>
    <w:uiPriority w:val="99"/>
    <w:semiHidden/>
    <w:unhideWhenUsed/>
    <w:rsid w:val="005F4E7D"/>
    <w:rPr>
      <w:vertAlign w:val="superscript"/>
    </w:rPr>
  </w:style>
  <w:style w:type="paragraph" w:styleId="NormalWeb">
    <w:name w:val="Normal (Web)"/>
    <w:basedOn w:val="Normal"/>
    <w:uiPriority w:val="99"/>
    <w:semiHidden/>
    <w:unhideWhenUsed/>
    <w:rsid w:val="005A6B2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319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D39FA5-5617-428B-97CF-9D7158E71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780</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2020-05-16T21:33:00Z</dcterms:created>
  <dcterms:modified xsi:type="dcterms:W3CDTF">2020-05-16T21:33:00Z</dcterms:modified>
</cp:coreProperties>
</file>